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C7" w:rsidRPr="005319C7" w:rsidRDefault="005319C7" w:rsidP="005319C7">
      <w:pPr>
        <w:pStyle w:val="a3"/>
        <w:jc w:val="right"/>
        <w:rPr>
          <w:b/>
        </w:rPr>
      </w:pPr>
      <w:r w:rsidRPr="005319C7">
        <w:rPr>
          <w:b/>
        </w:rPr>
        <w:t>Припадчев Артём</w:t>
      </w:r>
    </w:p>
    <w:p w:rsidR="005319C7" w:rsidRPr="005319C7" w:rsidRDefault="005319C7" w:rsidP="005319C7">
      <w:pPr>
        <w:pStyle w:val="a3"/>
        <w:jc w:val="right"/>
        <w:rPr>
          <w:b/>
        </w:rPr>
      </w:pPr>
      <w:r w:rsidRPr="005319C7">
        <w:rPr>
          <w:b/>
        </w:rPr>
        <w:t>группа 3125</w:t>
      </w:r>
    </w:p>
    <w:p w:rsidR="005319C7" w:rsidRPr="005319C7" w:rsidRDefault="005319C7" w:rsidP="005319C7">
      <w:pPr>
        <w:pStyle w:val="a3"/>
        <w:jc w:val="right"/>
        <w:rPr>
          <w:b/>
        </w:rPr>
      </w:pPr>
      <w:r w:rsidRPr="005319C7">
        <w:rPr>
          <w:b/>
        </w:rPr>
        <w:t>вариант 2</w:t>
      </w:r>
    </w:p>
    <w:p w:rsidR="00351AB6" w:rsidRDefault="005319C7" w:rsidP="005319C7">
      <w:pPr>
        <w:pStyle w:val="a3"/>
        <w:jc w:val="center"/>
        <w:rPr>
          <w:b/>
        </w:rPr>
      </w:pPr>
      <w:r w:rsidRPr="005319C7">
        <w:rPr>
          <w:b/>
        </w:rPr>
        <w:t>Германо-романский культурно-исторический тип, его достижения и перспективы развития</w:t>
      </w:r>
    </w:p>
    <w:p w:rsidR="002F70C6" w:rsidRDefault="002F70C6" w:rsidP="002F70C6">
      <w:pPr>
        <w:pStyle w:val="a3"/>
      </w:pPr>
      <w:r>
        <w:tab/>
      </w:r>
      <w:r>
        <w:t>Германо-романский тип характеризуется под углом зрения особенностей “психического строя” европейцев, их “высшего нравственного начала” (т.е. религии), особенностей их “исторического воспитания” (т.е. истории).</w:t>
      </w:r>
    </w:p>
    <w:p w:rsidR="002F70C6" w:rsidRDefault="002F70C6" w:rsidP="002F70C6">
      <w:pPr>
        <w:pStyle w:val="a3"/>
      </w:pPr>
      <w:r>
        <w:tab/>
      </w:r>
      <w:r>
        <w:t xml:space="preserve">Основную черту, присущую всем народам романо-германского типа, </w:t>
      </w:r>
      <w:proofErr w:type="spellStart"/>
      <w:r>
        <w:t>Н.Я.Данилевский</w:t>
      </w:r>
      <w:proofErr w:type="spellEnd"/>
      <w:r>
        <w:t xml:space="preserve"> усматривает в “насильственности”. Что предста</w:t>
      </w:r>
      <w:r>
        <w:t>вляет из себя насильственность?</w:t>
      </w:r>
    </w:p>
    <w:p w:rsidR="002F70C6" w:rsidRDefault="002F70C6" w:rsidP="002F70C6">
      <w:pPr>
        <w:pStyle w:val="a3"/>
      </w:pPr>
      <w:r>
        <w:tab/>
      </w:r>
      <w:r>
        <w:t>Это “чрезмерно развитое чувство личности, индивидуальности, по которому человек, им обладающий, ставит свой образ мыслей, свой интерес так высоко, что всякий иной образ мыслей, всякий иной интерес необходимо должен ему уступить, волею или неволею</w:t>
      </w:r>
      <w:r>
        <w:t>, как неравноправный ему”.</w:t>
      </w:r>
    </w:p>
    <w:p w:rsidR="002F70C6" w:rsidRDefault="002F70C6" w:rsidP="002F70C6">
      <w:pPr>
        <w:pStyle w:val="a3"/>
      </w:pPr>
      <w:r>
        <w:tab/>
      </w:r>
      <w:r>
        <w:t>В политике и общественной жизни “насильственность” проявляется в аристократизме, в угнетении народностей, в стремлении к безграничной свободе, к политической раздробленнос</w:t>
      </w:r>
      <w:r>
        <w:t>ти.</w:t>
      </w:r>
    </w:p>
    <w:p w:rsidR="002F70C6" w:rsidRDefault="002F70C6" w:rsidP="002F70C6">
      <w:pPr>
        <w:pStyle w:val="a3"/>
      </w:pPr>
      <w:r>
        <w:tab/>
      </w:r>
      <w:r>
        <w:t>В религии “насильственность” европейских народов проявляется в религиозной нетерпимости, либо в отрицании всяких авторитетов. Вместе с тем у такого “психического строя” есть и свои хорошие стороны — “настойчивый образ действий, крепкая защита своих пр</w:t>
      </w:r>
      <w:r>
        <w:t>ав и т.д.”</w:t>
      </w:r>
      <w:r>
        <w:t>, но в основном “насиль</w:t>
      </w:r>
      <w:r>
        <w:t>ственность” — черта негативная.</w:t>
      </w:r>
    </w:p>
    <w:p w:rsidR="005319C7" w:rsidRDefault="002F70C6" w:rsidP="002F70C6">
      <w:pPr>
        <w:pStyle w:val="a3"/>
      </w:pPr>
      <w:r>
        <w:tab/>
      </w:r>
      <w:r>
        <w:t xml:space="preserve">Анализируя особенности “исторического воспитания” европейцев, </w:t>
      </w:r>
      <w:proofErr w:type="spellStart"/>
      <w:r>
        <w:t>Н.Я.Данилевский</w:t>
      </w:r>
      <w:proofErr w:type="spellEnd"/>
      <w:r>
        <w:t xml:space="preserve"> приходит к выводу, что индивидуальная свобода “составляет принцип европейской цивилизации; не терпя внешнего ограничения, она может только сама себя ограничивать”</w:t>
      </w:r>
    </w:p>
    <w:p w:rsidR="002F70C6" w:rsidRPr="005319C7" w:rsidRDefault="002F70C6" w:rsidP="002F70C6">
      <w:pPr>
        <w:pStyle w:val="a3"/>
      </w:pPr>
      <w:r>
        <w:tab/>
        <w:t>Германо-романский культурно-исторический тип двухосновной, т.к. в рамках этого типа совмещаются разные типы деятельности, но он характеризуется особыми достижениями в науке и промышленном производстве.</w:t>
      </w:r>
    </w:p>
    <w:p w:rsidR="005319C7" w:rsidRDefault="005319C7" w:rsidP="005319C7">
      <w:pPr>
        <w:pStyle w:val="a3"/>
        <w:jc w:val="center"/>
        <w:rPr>
          <w:b/>
        </w:rPr>
      </w:pPr>
    </w:p>
    <w:p w:rsidR="005319C7" w:rsidRDefault="005319C7" w:rsidP="005319C7">
      <w:pPr>
        <w:pStyle w:val="a3"/>
        <w:jc w:val="center"/>
        <w:rPr>
          <w:b/>
        </w:rPr>
      </w:pPr>
      <w:r w:rsidRPr="005319C7">
        <w:rPr>
          <w:b/>
        </w:rPr>
        <w:t>Куда же проникло зло, и как оно проявляется в современном мире?</w:t>
      </w:r>
    </w:p>
    <w:p w:rsidR="002F70C6" w:rsidRPr="002F70C6" w:rsidRDefault="002F70C6" w:rsidP="002F70C6">
      <w:pPr>
        <w:pStyle w:val="a3"/>
      </w:pPr>
      <w:r>
        <w:tab/>
      </w:r>
      <w:r w:rsidRPr="002F70C6">
        <w:t xml:space="preserve">Формулируя проблему «куда же проникло Зло», </w:t>
      </w:r>
      <w:proofErr w:type="spellStart"/>
      <w:r w:rsidRPr="002F70C6">
        <w:t>Бодрийяр</w:t>
      </w:r>
      <w:proofErr w:type="spellEnd"/>
      <w:r w:rsidRPr="002F70C6">
        <w:t xml:space="preserve"> фиксирует: зло проникло повсюду, анаморфоз всех современных форм Зла бесконечен. «В обществе, которое, встав на путь профилактики и умерщвления своих естественных отношений методами эстетической хирургии, хирургического облагораживания отрицательного, не желает иметь дела ни с чем, кроме четкого управления и дискуссий о Добре, — в таком обществе Зло трансформируется в различные вирусные и террористич</w:t>
      </w:r>
      <w:r>
        <w:t>еские формы, преследующие нас».</w:t>
      </w:r>
      <w:bookmarkStart w:id="0" w:name="_GoBack"/>
      <w:bookmarkEnd w:id="0"/>
      <w:r w:rsidRPr="002F70C6">
        <w:t xml:space="preserve"> Если негативное порождает кризис и критику, то позитивное, возвеличенное до уровня гиперболы, порождает катастрофу в силу невозможности выделить кризис и критику даже в гомеопатических дозах. Любая структура, которая преследует, изгоняет, заклинает свои негативные элементы, подвергается риску катастрофы.</w:t>
      </w:r>
    </w:p>
    <w:sectPr w:rsidR="002F70C6" w:rsidRPr="002F70C6" w:rsidSect="005319C7">
      <w:pgSz w:w="11906" w:h="16838"/>
      <w:pgMar w:top="1134" w:right="851" w:bottom="1134"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C7"/>
    <w:rsid w:val="002F70C6"/>
    <w:rsid w:val="00351AB6"/>
    <w:rsid w:val="0053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1AA85-CDCF-4716-BBCC-81A8538A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1</cp:revision>
  <dcterms:created xsi:type="dcterms:W3CDTF">2015-05-19T10:50:00Z</dcterms:created>
  <dcterms:modified xsi:type="dcterms:W3CDTF">2015-05-19T11:23:00Z</dcterms:modified>
</cp:coreProperties>
</file>